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7726" w:rsidRDefault="00287726" w:rsidP="00287726">
      <w:pPr>
        <w:spacing w:after="0" w:line="240" w:lineRule="auto"/>
        <w:jc w:val="both"/>
        <w:rPr>
          <w:rFonts w:eastAsia="Times New Roman" w:cs="Times New Roman"/>
          <w:color w:val="3D9BE9"/>
          <w:sz w:val="21"/>
          <w:szCs w:val="21"/>
          <w:lang w:eastAsia="es-AR"/>
        </w:rPr>
      </w:pPr>
    </w:p>
    <w:p w:rsidR="00287726" w:rsidRDefault="00287726" w:rsidP="00287726">
      <w:pPr>
        <w:spacing w:after="0" w:line="240" w:lineRule="auto"/>
        <w:jc w:val="both"/>
        <w:rPr>
          <w:rFonts w:eastAsia="Times New Roman" w:cs="Times New Roman"/>
          <w:color w:val="3D9BE9"/>
          <w:sz w:val="21"/>
          <w:szCs w:val="21"/>
          <w:lang w:eastAsia="es-AR"/>
        </w:rPr>
      </w:pPr>
    </w:p>
    <w:p w:rsidR="00287726" w:rsidRPr="00287726" w:rsidRDefault="00287726" w:rsidP="00287726">
      <w:pPr>
        <w:spacing w:after="0" w:line="240" w:lineRule="auto"/>
        <w:jc w:val="both"/>
        <w:rPr>
          <w:rFonts w:eastAsia="Times New Roman" w:cs="Times New Roman"/>
          <w:sz w:val="21"/>
          <w:szCs w:val="21"/>
          <w:lang w:eastAsia="es-AR"/>
        </w:rPr>
      </w:pPr>
      <w:r w:rsidRPr="00287726">
        <w:rPr>
          <w:rFonts w:eastAsia="Times New Roman" w:cs="Times New Roman"/>
          <w:color w:val="3D9BE9"/>
          <w:sz w:val="21"/>
          <w:szCs w:val="21"/>
          <w:lang w:eastAsia="es-AR"/>
        </w:rPr>
        <w:t>¿Qué es FATCA?</w:t>
      </w:r>
    </w:p>
    <w:p w:rsidR="00287726" w:rsidRPr="00287726" w:rsidRDefault="00287726" w:rsidP="00287726">
      <w:pPr>
        <w:spacing w:after="0" w:line="240" w:lineRule="auto"/>
        <w:jc w:val="both"/>
        <w:rPr>
          <w:rFonts w:eastAsia="Times New Roman" w:cs="Times New Roman"/>
          <w:sz w:val="21"/>
          <w:szCs w:val="21"/>
          <w:lang w:eastAsia="es-AR"/>
        </w:rPr>
      </w:pPr>
      <w:r w:rsidRPr="00287726">
        <w:rPr>
          <w:rFonts w:eastAsia="Times New Roman" w:cs="Times New Roman"/>
          <w:sz w:val="21"/>
          <w:szCs w:val="21"/>
          <w:lang w:eastAsia="es-AR"/>
        </w:rPr>
        <w:t>FATCA invita a las Instituciones Financieras Extranjeras a identificar, reportar y (en algunos casos) retener fondos de personas estadounidenses.</w:t>
      </w:r>
    </w:p>
    <w:p w:rsidR="00287726" w:rsidRPr="00287726" w:rsidRDefault="00287726" w:rsidP="00287726">
      <w:pPr>
        <w:spacing w:after="0" w:line="240" w:lineRule="auto"/>
        <w:jc w:val="both"/>
        <w:rPr>
          <w:rFonts w:eastAsia="Times New Roman" w:cs="Times New Roman"/>
          <w:sz w:val="21"/>
          <w:szCs w:val="21"/>
          <w:lang w:eastAsia="es-AR"/>
        </w:rPr>
      </w:pPr>
    </w:p>
    <w:p w:rsidR="00287726" w:rsidRPr="00287726" w:rsidRDefault="00287726" w:rsidP="00287726">
      <w:pPr>
        <w:spacing w:after="0" w:line="240" w:lineRule="auto"/>
        <w:jc w:val="both"/>
        <w:rPr>
          <w:rFonts w:eastAsia="Times New Roman" w:cs="Times New Roman"/>
          <w:sz w:val="21"/>
          <w:szCs w:val="21"/>
          <w:lang w:eastAsia="es-AR"/>
        </w:rPr>
      </w:pPr>
      <w:r w:rsidRPr="00287726">
        <w:rPr>
          <w:rFonts w:eastAsia="Times New Roman" w:cs="Times New Roman"/>
          <w:color w:val="3D9BE9"/>
          <w:sz w:val="21"/>
          <w:szCs w:val="21"/>
          <w:lang w:eastAsia="es-AR"/>
        </w:rPr>
        <w:t>¿Cuál es el objetivo de FATCA?</w:t>
      </w:r>
    </w:p>
    <w:p w:rsidR="00287726" w:rsidRPr="00287726" w:rsidRDefault="00287726" w:rsidP="00287726">
      <w:pPr>
        <w:spacing w:after="0" w:line="240" w:lineRule="auto"/>
        <w:jc w:val="both"/>
        <w:rPr>
          <w:rFonts w:eastAsia="Times New Roman" w:cs="Times New Roman"/>
          <w:sz w:val="21"/>
          <w:szCs w:val="21"/>
          <w:lang w:eastAsia="es-AR"/>
        </w:rPr>
      </w:pPr>
      <w:r w:rsidRPr="00287726">
        <w:rPr>
          <w:rFonts w:eastAsia="Times New Roman" w:cs="Times New Roman"/>
          <w:sz w:val="21"/>
          <w:szCs w:val="21"/>
          <w:lang w:eastAsia="es-AR"/>
        </w:rPr>
        <w:t>El objetivo es detectar e impedir la evasión fiscal de inversiones en el extranjero por parte de residentes y ciudadanos americanos. Las instituciones financieras fuera de Estados Unidos tienen un incentivo importante para cumplir con esta ley, dado que es la única forma de evitar la retención impositiva del 30% sobre cualquier pago recibido de fuente americana sujeto a retención.</w:t>
      </w:r>
    </w:p>
    <w:p w:rsidR="00287726" w:rsidRPr="00287726" w:rsidRDefault="00287726" w:rsidP="00287726">
      <w:pPr>
        <w:spacing w:after="0" w:line="240" w:lineRule="auto"/>
        <w:jc w:val="both"/>
        <w:rPr>
          <w:rFonts w:eastAsia="Times New Roman" w:cs="Times New Roman"/>
          <w:sz w:val="21"/>
          <w:szCs w:val="21"/>
          <w:lang w:eastAsia="es-AR"/>
        </w:rPr>
      </w:pPr>
    </w:p>
    <w:p w:rsidR="00287726" w:rsidRPr="00287726" w:rsidRDefault="00287726" w:rsidP="00287726">
      <w:pPr>
        <w:spacing w:after="0" w:line="240" w:lineRule="auto"/>
        <w:jc w:val="both"/>
        <w:rPr>
          <w:rFonts w:eastAsia="Times New Roman" w:cs="Times New Roman"/>
          <w:sz w:val="21"/>
          <w:szCs w:val="21"/>
          <w:lang w:eastAsia="es-AR"/>
        </w:rPr>
      </w:pPr>
      <w:r w:rsidRPr="00287726">
        <w:rPr>
          <w:rFonts w:eastAsia="Times New Roman" w:cs="Times New Roman"/>
          <w:color w:val="3D9BE9"/>
          <w:sz w:val="21"/>
          <w:szCs w:val="21"/>
          <w:lang w:eastAsia="es-AR"/>
        </w:rPr>
        <w:t>¿A quién impacta FATCA?</w:t>
      </w:r>
    </w:p>
    <w:p w:rsidR="00287726" w:rsidRPr="00287726" w:rsidRDefault="00287726" w:rsidP="00287726">
      <w:pPr>
        <w:spacing w:after="0" w:line="240" w:lineRule="auto"/>
        <w:jc w:val="both"/>
        <w:rPr>
          <w:rFonts w:eastAsia="Times New Roman" w:cs="Times New Roman"/>
          <w:sz w:val="21"/>
          <w:szCs w:val="21"/>
          <w:lang w:eastAsia="es-AR"/>
        </w:rPr>
      </w:pPr>
      <w:r w:rsidRPr="00287726">
        <w:rPr>
          <w:rFonts w:eastAsia="Times New Roman" w:cs="Times New Roman"/>
          <w:sz w:val="21"/>
          <w:szCs w:val="21"/>
          <w:lang w:eastAsia="es-AR"/>
        </w:rPr>
        <w:t>FATCA es un régimen amplio y puede impactar a cualquier persona física o jurídica, americana o extranjera, en la medida que esa persona esté involucrada en la realización o recepción de pagos que encuadren dentro del ámbito de FATCA.</w:t>
      </w:r>
    </w:p>
    <w:p w:rsidR="00287726" w:rsidRPr="00287726" w:rsidRDefault="00287726" w:rsidP="00287726">
      <w:pPr>
        <w:spacing w:after="0" w:line="240" w:lineRule="auto"/>
        <w:jc w:val="both"/>
        <w:rPr>
          <w:rFonts w:eastAsia="Times New Roman" w:cs="Times New Roman"/>
          <w:sz w:val="21"/>
          <w:szCs w:val="21"/>
          <w:lang w:eastAsia="es-AR"/>
        </w:rPr>
      </w:pPr>
      <w:r w:rsidRPr="00287726">
        <w:rPr>
          <w:rFonts w:eastAsia="Times New Roman" w:cs="Times New Roman"/>
          <w:sz w:val="21"/>
          <w:szCs w:val="21"/>
          <w:lang w:eastAsia="es-AR"/>
        </w:rPr>
        <w:t xml:space="preserve">Las </w:t>
      </w:r>
      <w:proofErr w:type="spellStart"/>
      <w:r w:rsidRPr="00287726">
        <w:rPr>
          <w:rFonts w:eastAsia="Times New Roman" w:cs="Times New Roman"/>
          <w:sz w:val="21"/>
          <w:szCs w:val="21"/>
          <w:lang w:eastAsia="es-AR"/>
        </w:rPr>
        <w:t>FFIs</w:t>
      </w:r>
      <w:proofErr w:type="spellEnd"/>
      <w:r w:rsidRPr="00287726">
        <w:rPr>
          <w:rFonts w:eastAsia="Times New Roman" w:cs="Times New Roman"/>
          <w:sz w:val="21"/>
          <w:szCs w:val="21"/>
          <w:lang w:eastAsia="es-AR"/>
        </w:rPr>
        <w:t xml:space="preserve"> deberán cumplir con FATCA de alguna de las siguientes maneras:</w:t>
      </w:r>
    </w:p>
    <w:p w:rsidR="00287726" w:rsidRPr="00287726" w:rsidRDefault="00287726" w:rsidP="00287726">
      <w:pPr>
        <w:numPr>
          <w:ilvl w:val="0"/>
          <w:numId w:val="1"/>
        </w:numPr>
        <w:spacing w:before="100" w:beforeAutospacing="1" w:after="100" w:afterAutospacing="1" w:line="240" w:lineRule="auto"/>
        <w:jc w:val="both"/>
        <w:rPr>
          <w:rFonts w:eastAsia="Times New Roman" w:cs="Times New Roman"/>
          <w:sz w:val="21"/>
          <w:szCs w:val="21"/>
          <w:lang w:eastAsia="es-AR"/>
        </w:rPr>
      </w:pPr>
      <w:r w:rsidRPr="00287726">
        <w:rPr>
          <w:rFonts w:eastAsia="Times New Roman" w:cs="Times New Roman"/>
          <w:sz w:val="21"/>
          <w:szCs w:val="21"/>
          <w:lang w:eastAsia="es-AR"/>
        </w:rPr>
        <w:t xml:space="preserve">En países con Acuerdos Intergubernamentales (IGA por sus siglas en inglés) Modelo 1, las </w:t>
      </w:r>
      <w:proofErr w:type="spellStart"/>
      <w:r w:rsidRPr="00287726">
        <w:rPr>
          <w:rFonts w:eastAsia="Times New Roman" w:cs="Times New Roman"/>
          <w:sz w:val="21"/>
          <w:szCs w:val="21"/>
          <w:lang w:eastAsia="es-AR"/>
        </w:rPr>
        <w:t>FFIs</w:t>
      </w:r>
      <w:proofErr w:type="spellEnd"/>
      <w:r w:rsidRPr="00287726">
        <w:rPr>
          <w:rFonts w:eastAsia="Times New Roman" w:cs="Times New Roman"/>
          <w:sz w:val="21"/>
          <w:szCs w:val="21"/>
          <w:lang w:eastAsia="es-AR"/>
        </w:rPr>
        <w:t xml:space="preserve"> deberán cumplir bajo la regulación local y reportar a su autoridad tributaria, quien intercambiará información con el </w:t>
      </w:r>
      <w:proofErr w:type="spellStart"/>
      <w:r w:rsidRPr="00287726">
        <w:rPr>
          <w:rFonts w:eastAsia="Times New Roman" w:cs="Times New Roman"/>
          <w:sz w:val="21"/>
          <w:szCs w:val="21"/>
          <w:lang w:eastAsia="es-AR"/>
        </w:rPr>
        <w:t>Internal</w:t>
      </w:r>
      <w:proofErr w:type="spellEnd"/>
      <w:r w:rsidRPr="00287726">
        <w:rPr>
          <w:rFonts w:eastAsia="Times New Roman" w:cs="Times New Roman"/>
          <w:sz w:val="21"/>
          <w:szCs w:val="21"/>
          <w:lang w:eastAsia="es-AR"/>
        </w:rPr>
        <w:t xml:space="preserve"> </w:t>
      </w:r>
      <w:proofErr w:type="spellStart"/>
      <w:r w:rsidRPr="00287726">
        <w:rPr>
          <w:rFonts w:eastAsia="Times New Roman" w:cs="Times New Roman"/>
          <w:sz w:val="21"/>
          <w:szCs w:val="21"/>
          <w:lang w:eastAsia="es-AR"/>
        </w:rPr>
        <w:t>Revenue</w:t>
      </w:r>
      <w:proofErr w:type="spellEnd"/>
      <w:r w:rsidRPr="00287726">
        <w:rPr>
          <w:rFonts w:eastAsia="Times New Roman" w:cs="Times New Roman"/>
          <w:sz w:val="21"/>
          <w:szCs w:val="21"/>
          <w:lang w:eastAsia="es-AR"/>
        </w:rPr>
        <w:t xml:space="preserve"> </w:t>
      </w:r>
      <w:proofErr w:type="spellStart"/>
      <w:r w:rsidRPr="00287726">
        <w:rPr>
          <w:rFonts w:eastAsia="Times New Roman" w:cs="Times New Roman"/>
          <w:sz w:val="21"/>
          <w:szCs w:val="21"/>
          <w:lang w:eastAsia="es-AR"/>
        </w:rPr>
        <w:t>Service</w:t>
      </w:r>
      <w:proofErr w:type="spellEnd"/>
      <w:r w:rsidRPr="00287726">
        <w:rPr>
          <w:rFonts w:eastAsia="Times New Roman" w:cs="Times New Roman"/>
          <w:sz w:val="21"/>
          <w:szCs w:val="21"/>
          <w:lang w:eastAsia="es-AR"/>
        </w:rPr>
        <w:t xml:space="preserve"> (IRS)</w:t>
      </w:r>
    </w:p>
    <w:p w:rsidR="00287726" w:rsidRPr="00287726" w:rsidRDefault="00287726" w:rsidP="00287726">
      <w:pPr>
        <w:numPr>
          <w:ilvl w:val="0"/>
          <w:numId w:val="1"/>
        </w:numPr>
        <w:spacing w:before="100" w:beforeAutospacing="1" w:after="100" w:afterAutospacing="1" w:line="240" w:lineRule="auto"/>
        <w:jc w:val="both"/>
        <w:rPr>
          <w:rFonts w:eastAsia="Times New Roman" w:cs="Times New Roman"/>
          <w:sz w:val="21"/>
          <w:szCs w:val="21"/>
          <w:lang w:eastAsia="es-AR"/>
        </w:rPr>
      </w:pPr>
      <w:r w:rsidRPr="00287726">
        <w:rPr>
          <w:rFonts w:eastAsia="Times New Roman" w:cs="Times New Roman"/>
          <w:sz w:val="21"/>
          <w:szCs w:val="21"/>
          <w:lang w:eastAsia="es-AR"/>
        </w:rPr>
        <w:t xml:space="preserve">En países con IGA Modelo 2, las </w:t>
      </w:r>
      <w:proofErr w:type="spellStart"/>
      <w:r w:rsidRPr="00287726">
        <w:rPr>
          <w:rFonts w:eastAsia="Times New Roman" w:cs="Times New Roman"/>
          <w:sz w:val="21"/>
          <w:szCs w:val="21"/>
          <w:lang w:eastAsia="es-AR"/>
        </w:rPr>
        <w:t>FFIs</w:t>
      </w:r>
      <w:proofErr w:type="spellEnd"/>
      <w:r w:rsidRPr="00287726">
        <w:rPr>
          <w:rFonts w:eastAsia="Times New Roman" w:cs="Times New Roman"/>
          <w:sz w:val="21"/>
          <w:szCs w:val="21"/>
          <w:lang w:eastAsia="es-AR"/>
        </w:rPr>
        <w:t xml:space="preserve"> deberán cumplir con las regulaciones locales para entrar en un acuerdo FATCA con el IRS y reportar directamente al IRS. Los requerimientos para el cumplimiento de esta ley están establecidos en el IGA firmado por el país.</w:t>
      </w:r>
    </w:p>
    <w:p w:rsidR="00287726" w:rsidRPr="00287726" w:rsidRDefault="00287726" w:rsidP="00287726">
      <w:pPr>
        <w:numPr>
          <w:ilvl w:val="0"/>
          <w:numId w:val="1"/>
        </w:numPr>
        <w:spacing w:before="100" w:beforeAutospacing="1" w:after="100" w:afterAutospacing="1" w:line="240" w:lineRule="auto"/>
        <w:jc w:val="both"/>
        <w:rPr>
          <w:rFonts w:eastAsia="Times New Roman" w:cs="Times New Roman"/>
          <w:sz w:val="21"/>
          <w:szCs w:val="21"/>
          <w:lang w:eastAsia="es-AR"/>
        </w:rPr>
      </w:pPr>
      <w:r w:rsidRPr="00287726">
        <w:rPr>
          <w:rFonts w:eastAsia="Times New Roman" w:cs="Times New Roman"/>
          <w:sz w:val="21"/>
          <w:szCs w:val="21"/>
          <w:lang w:eastAsia="es-AR"/>
        </w:rPr>
        <w:t xml:space="preserve">En países que no han firmado un IGA, las </w:t>
      </w:r>
      <w:proofErr w:type="spellStart"/>
      <w:r w:rsidRPr="00287726">
        <w:rPr>
          <w:rFonts w:eastAsia="Times New Roman" w:cs="Times New Roman"/>
          <w:sz w:val="21"/>
          <w:szCs w:val="21"/>
          <w:lang w:eastAsia="es-AR"/>
        </w:rPr>
        <w:t>FFIs</w:t>
      </w:r>
      <w:proofErr w:type="spellEnd"/>
      <w:r w:rsidRPr="00287726">
        <w:rPr>
          <w:rFonts w:eastAsia="Times New Roman" w:cs="Times New Roman"/>
          <w:sz w:val="21"/>
          <w:szCs w:val="21"/>
          <w:lang w:eastAsia="es-AR"/>
        </w:rPr>
        <w:t xml:space="preserve"> deberán entrar en acuerdos FATCA con el IRS y reportar directamente a este organismo.</w:t>
      </w:r>
    </w:p>
    <w:p w:rsidR="00287726" w:rsidRPr="00287726" w:rsidRDefault="00287726" w:rsidP="00287726">
      <w:pPr>
        <w:spacing w:after="0" w:line="240" w:lineRule="auto"/>
        <w:jc w:val="both"/>
        <w:rPr>
          <w:rFonts w:eastAsia="Times New Roman" w:cs="Times New Roman"/>
          <w:sz w:val="21"/>
          <w:szCs w:val="21"/>
          <w:lang w:eastAsia="es-AR"/>
        </w:rPr>
      </w:pPr>
      <w:r w:rsidRPr="00287726">
        <w:rPr>
          <w:rFonts w:eastAsia="Times New Roman" w:cs="Times New Roman"/>
          <w:color w:val="3D9BE9"/>
          <w:sz w:val="21"/>
          <w:szCs w:val="21"/>
          <w:lang w:eastAsia="es-AR"/>
        </w:rPr>
        <w:t>¿Cuál es la posición de Omega Bursátil S.A.?</w:t>
      </w:r>
    </w:p>
    <w:p w:rsidR="00287726" w:rsidRPr="00287726" w:rsidRDefault="00287726" w:rsidP="00287726">
      <w:pPr>
        <w:spacing w:after="0" w:line="240" w:lineRule="auto"/>
        <w:jc w:val="both"/>
        <w:rPr>
          <w:rFonts w:eastAsia="Times New Roman" w:cs="Times New Roman"/>
          <w:sz w:val="21"/>
          <w:szCs w:val="21"/>
          <w:lang w:eastAsia="es-AR"/>
        </w:rPr>
      </w:pPr>
      <w:r w:rsidRPr="00287726">
        <w:rPr>
          <w:rFonts w:eastAsia="Times New Roman" w:cs="Times New Roman"/>
          <w:sz w:val="21"/>
          <w:szCs w:val="21"/>
          <w:lang w:eastAsia="es-AR"/>
        </w:rPr>
        <w:t>Omega Bursátil S.A. ha aceptado participar en FATCA y cumplir con los requerimientos y obligaciones de esta ley de forma de poder continuar brindando servicios financieros de calidad sus clientes.</w:t>
      </w:r>
    </w:p>
    <w:p w:rsidR="00287726" w:rsidRPr="00287726" w:rsidRDefault="00287726" w:rsidP="00287726">
      <w:pPr>
        <w:spacing w:after="0" w:line="240" w:lineRule="auto"/>
        <w:jc w:val="both"/>
        <w:rPr>
          <w:rFonts w:eastAsia="Times New Roman" w:cs="Times New Roman"/>
          <w:sz w:val="21"/>
          <w:szCs w:val="21"/>
          <w:lang w:eastAsia="es-AR"/>
        </w:rPr>
      </w:pPr>
    </w:p>
    <w:p w:rsidR="00287726" w:rsidRPr="00287726" w:rsidRDefault="00287726" w:rsidP="00287726">
      <w:pPr>
        <w:spacing w:after="0" w:line="240" w:lineRule="auto"/>
        <w:jc w:val="both"/>
        <w:rPr>
          <w:rFonts w:eastAsia="Times New Roman" w:cs="Times New Roman"/>
          <w:sz w:val="21"/>
          <w:szCs w:val="21"/>
          <w:lang w:eastAsia="es-AR"/>
        </w:rPr>
      </w:pPr>
      <w:r w:rsidRPr="00287726">
        <w:rPr>
          <w:rFonts w:eastAsia="Times New Roman" w:cs="Times New Roman"/>
          <w:color w:val="3D9BE9"/>
          <w:sz w:val="21"/>
          <w:szCs w:val="21"/>
          <w:lang w:eastAsia="es-AR"/>
        </w:rPr>
        <w:t>¿Cómo impacta FATCA a Omega Bursátil S.A.?</w:t>
      </w:r>
    </w:p>
    <w:p w:rsidR="00287726" w:rsidRPr="00287726" w:rsidRDefault="00287726" w:rsidP="00287726">
      <w:pPr>
        <w:spacing w:after="0" w:line="240" w:lineRule="auto"/>
        <w:jc w:val="both"/>
        <w:rPr>
          <w:rFonts w:eastAsia="Times New Roman" w:cs="Times New Roman"/>
          <w:sz w:val="21"/>
          <w:szCs w:val="21"/>
          <w:lang w:eastAsia="es-AR"/>
        </w:rPr>
      </w:pPr>
      <w:r w:rsidRPr="00287726">
        <w:rPr>
          <w:rFonts w:eastAsia="Times New Roman" w:cs="Times New Roman"/>
          <w:sz w:val="21"/>
          <w:szCs w:val="21"/>
          <w:lang w:eastAsia="es-AR"/>
        </w:rPr>
        <w:t>Hemos firmado un acuerdo con el IRS, en virtud del cual debemos obtener y verificar cierta información de nuestros clientes, reportar al IRS determinada información de clientes americanos y eventualmente realizar retenciones FATCA requiere que revisemos nuestros procesos vigentes de aceptación de clientes y procesos de retenciones y que los ajustemos en función de las regulaciones, en la medida que corresponda.</w:t>
      </w:r>
    </w:p>
    <w:p w:rsidR="00287726" w:rsidRPr="00287726" w:rsidRDefault="00287726" w:rsidP="00287726">
      <w:pPr>
        <w:spacing w:after="0" w:line="240" w:lineRule="auto"/>
        <w:jc w:val="both"/>
        <w:rPr>
          <w:rFonts w:eastAsia="Times New Roman" w:cs="Times New Roman"/>
          <w:sz w:val="21"/>
          <w:szCs w:val="21"/>
          <w:lang w:eastAsia="es-AR"/>
        </w:rPr>
      </w:pPr>
    </w:p>
    <w:p w:rsidR="00287726" w:rsidRPr="00287726" w:rsidRDefault="00287726" w:rsidP="00287726">
      <w:pPr>
        <w:spacing w:after="0" w:line="240" w:lineRule="auto"/>
        <w:jc w:val="both"/>
        <w:rPr>
          <w:rFonts w:eastAsia="Times New Roman" w:cs="Times New Roman"/>
          <w:sz w:val="21"/>
          <w:szCs w:val="21"/>
          <w:lang w:eastAsia="es-AR"/>
        </w:rPr>
      </w:pPr>
      <w:r w:rsidRPr="00287726">
        <w:rPr>
          <w:rFonts w:eastAsia="Times New Roman" w:cs="Times New Roman"/>
          <w:color w:val="3D9BE9"/>
          <w:sz w:val="21"/>
          <w:szCs w:val="21"/>
          <w:lang w:eastAsia="es-AR"/>
        </w:rPr>
        <w:t>¿Cuándo comienzan las retenciones por FATCA?</w:t>
      </w:r>
    </w:p>
    <w:p w:rsidR="00287726" w:rsidRDefault="00287726" w:rsidP="00287726">
      <w:pPr>
        <w:spacing w:after="0" w:line="240" w:lineRule="auto"/>
        <w:jc w:val="both"/>
        <w:rPr>
          <w:rFonts w:eastAsia="Times New Roman" w:cs="Times New Roman"/>
          <w:sz w:val="21"/>
          <w:szCs w:val="21"/>
          <w:lang w:eastAsia="es-AR"/>
        </w:rPr>
      </w:pPr>
      <w:r w:rsidRPr="00287726">
        <w:rPr>
          <w:rFonts w:eastAsia="Times New Roman" w:cs="Times New Roman"/>
          <w:sz w:val="21"/>
          <w:szCs w:val="21"/>
          <w:lang w:eastAsia="es-AR"/>
        </w:rPr>
        <w:t>Las retenciones de FATCA sobre ingresos de fuente americana tales como intereses, dividendos, primas, anualidades, comenzarán a partir del 1 de Julio de 2014. Las retenciones sobre los resultados brutos por venta o redenciones de activos que generen dividendos o intereses, comenzarán a partir del 1 de enero de 2017. Adicionalmente, las retenciones sobre pagos "</w:t>
      </w:r>
      <w:proofErr w:type="spellStart"/>
      <w:r w:rsidRPr="00287726">
        <w:rPr>
          <w:rFonts w:eastAsia="Times New Roman" w:cs="Times New Roman"/>
          <w:sz w:val="21"/>
          <w:szCs w:val="21"/>
          <w:lang w:eastAsia="es-AR"/>
        </w:rPr>
        <w:t>pass</w:t>
      </w:r>
      <w:proofErr w:type="spellEnd"/>
      <w:r w:rsidRPr="00287726">
        <w:rPr>
          <w:rFonts w:eastAsia="Times New Roman" w:cs="Times New Roman"/>
          <w:sz w:val="21"/>
          <w:szCs w:val="21"/>
          <w:lang w:eastAsia="es-AR"/>
        </w:rPr>
        <w:t xml:space="preserve"> </w:t>
      </w:r>
      <w:proofErr w:type="spellStart"/>
      <w:r w:rsidRPr="00287726">
        <w:rPr>
          <w:rFonts w:eastAsia="Times New Roman" w:cs="Times New Roman"/>
          <w:sz w:val="21"/>
          <w:szCs w:val="21"/>
          <w:lang w:eastAsia="es-AR"/>
        </w:rPr>
        <w:t>through</w:t>
      </w:r>
      <w:proofErr w:type="spellEnd"/>
      <w:r w:rsidRPr="00287726">
        <w:rPr>
          <w:rFonts w:eastAsia="Times New Roman" w:cs="Times New Roman"/>
          <w:sz w:val="21"/>
          <w:szCs w:val="21"/>
          <w:lang w:eastAsia="es-AR"/>
        </w:rPr>
        <w:t>" extranjeros no comenzaran antes del 1 de enero de 2017. Debe señalarse que las retenciones se efectuarán únicamente sobre aquellos clientes que, siendo identificados como personas estadounidenses, no acepten suministrar la documentación fiscal requerida y sobre instituciones financieras no participantes.</w:t>
      </w:r>
    </w:p>
    <w:p w:rsidR="00287726" w:rsidRDefault="00287726" w:rsidP="00287726">
      <w:pPr>
        <w:spacing w:after="0" w:line="240" w:lineRule="auto"/>
        <w:jc w:val="both"/>
        <w:rPr>
          <w:rFonts w:eastAsia="Times New Roman" w:cs="Times New Roman"/>
          <w:sz w:val="21"/>
          <w:szCs w:val="21"/>
          <w:lang w:eastAsia="es-AR"/>
        </w:rPr>
      </w:pPr>
    </w:p>
    <w:p w:rsidR="00287726" w:rsidRDefault="00287726" w:rsidP="00287726">
      <w:pPr>
        <w:spacing w:after="0" w:line="240" w:lineRule="auto"/>
        <w:jc w:val="both"/>
        <w:rPr>
          <w:rFonts w:eastAsia="Times New Roman" w:cs="Times New Roman"/>
          <w:sz w:val="21"/>
          <w:szCs w:val="21"/>
          <w:lang w:eastAsia="es-AR"/>
        </w:rPr>
      </w:pPr>
    </w:p>
    <w:p w:rsidR="00287726" w:rsidRDefault="00287726" w:rsidP="00287726">
      <w:pPr>
        <w:spacing w:after="0" w:line="240" w:lineRule="auto"/>
        <w:jc w:val="both"/>
        <w:rPr>
          <w:rFonts w:eastAsia="Times New Roman" w:cs="Times New Roman"/>
          <w:sz w:val="21"/>
          <w:szCs w:val="21"/>
          <w:lang w:eastAsia="es-AR"/>
        </w:rPr>
      </w:pPr>
    </w:p>
    <w:p w:rsidR="00287726" w:rsidRDefault="00287726" w:rsidP="00287726">
      <w:pPr>
        <w:spacing w:after="0" w:line="240" w:lineRule="auto"/>
        <w:jc w:val="both"/>
        <w:rPr>
          <w:rFonts w:eastAsia="Times New Roman" w:cs="Times New Roman"/>
          <w:sz w:val="21"/>
          <w:szCs w:val="21"/>
          <w:lang w:eastAsia="es-AR"/>
        </w:rPr>
      </w:pPr>
    </w:p>
    <w:p w:rsidR="00287726" w:rsidRPr="00287726" w:rsidRDefault="00287726" w:rsidP="00287726">
      <w:pPr>
        <w:spacing w:after="0" w:line="240" w:lineRule="auto"/>
        <w:jc w:val="both"/>
        <w:rPr>
          <w:rFonts w:eastAsia="Times New Roman" w:cs="Times New Roman"/>
          <w:sz w:val="21"/>
          <w:szCs w:val="21"/>
          <w:lang w:eastAsia="es-AR"/>
        </w:rPr>
      </w:pPr>
    </w:p>
    <w:p w:rsidR="00287726" w:rsidRPr="00287726" w:rsidRDefault="00287726" w:rsidP="00287726">
      <w:pPr>
        <w:spacing w:after="0" w:line="240" w:lineRule="auto"/>
        <w:jc w:val="both"/>
        <w:rPr>
          <w:rFonts w:eastAsia="Times New Roman" w:cs="Times New Roman"/>
          <w:sz w:val="21"/>
          <w:szCs w:val="21"/>
          <w:lang w:eastAsia="es-AR"/>
        </w:rPr>
      </w:pPr>
    </w:p>
    <w:p w:rsidR="00287726" w:rsidRPr="00287726" w:rsidRDefault="00287726" w:rsidP="00287726">
      <w:pPr>
        <w:spacing w:after="0" w:line="240" w:lineRule="auto"/>
        <w:jc w:val="both"/>
        <w:rPr>
          <w:rFonts w:eastAsia="Times New Roman" w:cs="Times New Roman"/>
          <w:sz w:val="21"/>
          <w:szCs w:val="21"/>
          <w:lang w:eastAsia="es-AR"/>
        </w:rPr>
      </w:pPr>
      <w:r w:rsidRPr="00287726">
        <w:rPr>
          <w:rFonts w:eastAsia="Times New Roman" w:cs="Times New Roman"/>
          <w:color w:val="3D9BE9"/>
          <w:sz w:val="21"/>
          <w:szCs w:val="21"/>
          <w:lang w:eastAsia="es-AR"/>
        </w:rPr>
        <w:t>¿Qué implica para los clientes?</w:t>
      </w:r>
    </w:p>
    <w:p w:rsidR="00287726" w:rsidRDefault="00287726" w:rsidP="00287726">
      <w:pPr>
        <w:spacing w:after="0" w:line="240" w:lineRule="auto"/>
        <w:jc w:val="both"/>
        <w:rPr>
          <w:rFonts w:eastAsia="Times New Roman" w:cs="Times New Roman"/>
          <w:sz w:val="21"/>
          <w:szCs w:val="21"/>
          <w:lang w:eastAsia="es-AR"/>
        </w:rPr>
      </w:pPr>
      <w:r w:rsidRPr="00287726">
        <w:rPr>
          <w:rFonts w:eastAsia="Times New Roman" w:cs="Times New Roman"/>
          <w:sz w:val="21"/>
          <w:szCs w:val="21"/>
          <w:lang w:eastAsia="es-AR"/>
        </w:rPr>
        <w:t xml:space="preserve">De acuerdo a lo establecido por el IRS, FATCA entrará en vigencia el 1 de Julio de 2014. Esta ley requiere que determinemos el status FATCA de clientes nuevos a partir de esa fecha, antes de </w:t>
      </w:r>
    </w:p>
    <w:p w:rsidR="00287726" w:rsidRPr="00287726" w:rsidRDefault="00287726" w:rsidP="00287726">
      <w:pPr>
        <w:spacing w:after="0" w:line="240" w:lineRule="auto"/>
        <w:jc w:val="both"/>
        <w:rPr>
          <w:rFonts w:eastAsia="Times New Roman" w:cs="Times New Roman"/>
          <w:sz w:val="21"/>
          <w:szCs w:val="21"/>
          <w:lang w:eastAsia="es-AR"/>
        </w:rPr>
      </w:pPr>
      <w:proofErr w:type="gramStart"/>
      <w:r w:rsidRPr="00287726">
        <w:rPr>
          <w:rFonts w:eastAsia="Times New Roman" w:cs="Times New Roman"/>
          <w:sz w:val="21"/>
          <w:szCs w:val="21"/>
          <w:lang w:eastAsia="es-AR"/>
        </w:rPr>
        <w:t>aceptarlos</w:t>
      </w:r>
      <w:proofErr w:type="gramEnd"/>
      <w:r w:rsidRPr="00287726">
        <w:rPr>
          <w:rFonts w:eastAsia="Times New Roman" w:cs="Times New Roman"/>
          <w:sz w:val="21"/>
          <w:szCs w:val="21"/>
          <w:lang w:eastAsia="es-AR"/>
        </w:rPr>
        <w:t xml:space="preserve"> como clientes. Para los clientes existentes también se deberá determinar el status FATCA, con lo cual les solicitaremos (en la medida que ello sea necesario) información para documentar su status en los próximos meses.</w:t>
      </w:r>
    </w:p>
    <w:p w:rsidR="00287726" w:rsidRDefault="00287726" w:rsidP="00287726">
      <w:pPr>
        <w:spacing w:after="0" w:line="240" w:lineRule="auto"/>
        <w:jc w:val="both"/>
        <w:rPr>
          <w:rFonts w:eastAsia="Times New Roman" w:cs="Times New Roman"/>
          <w:sz w:val="21"/>
          <w:szCs w:val="21"/>
          <w:lang w:eastAsia="es-AR"/>
        </w:rPr>
      </w:pPr>
      <w:r w:rsidRPr="00287726">
        <w:rPr>
          <w:rFonts w:eastAsia="Times New Roman" w:cs="Times New Roman"/>
          <w:sz w:val="21"/>
          <w:szCs w:val="21"/>
          <w:lang w:eastAsia="es-AR"/>
        </w:rPr>
        <w:t>El reporte de cuentas de personas estadounidenses al IRS está previsto que comience en Marzo de 2015 correspondiente al año 2014.</w:t>
      </w:r>
    </w:p>
    <w:p w:rsidR="00287726" w:rsidRPr="00287726" w:rsidRDefault="00287726" w:rsidP="00287726">
      <w:pPr>
        <w:spacing w:after="0" w:line="240" w:lineRule="auto"/>
        <w:jc w:val="both"/>
        <w:rPr>
          <w:rFonts w:eastAsia="Times New Roman" w:cs="Times New Roman"/>
          <w:sz w:val="21"/>
          <w:szCs w:val="21"/>
          <w:lang w:eastAsia="es-AR"/>
        </w:rPr>
      </w:pPr>
    </w:p>
    <w:p w:rsidR="00287726" w:rsidRPr="00287726" w:rsidRDefault="00287726" w:rsidP="00287726">
      <w:pPr>
        <w:spacing w:after="0" w:line="240" w:lineRule="auto"/>
        <w:jc w:val="both"/>
        <w:rPr>
          <w:rFonts w:eastAsia="Times New Roman" w:cs="Times New Roman"/>
          <w:sz w:val="21"/>
          <w:szCs w:val="21"/>
          <w:lang w:eastAsia="es-AR"/>
        </w:rPr>
      </w:pPr>
      <w:r w:rsidRPr="00287726">
        <w:rPr>
          <w:rFonts w:eastAsia="Times New Roman" w:cs="Times New Roman"/>
          <w:sz w:val="21"/>
          <w:szCs w:val="21"/>
          <w:lang w:eastAsia="es-AR"/>
        </w:rPr>
        <w:t>Favor contactar a su asesor tributario si tiene preguntas específicas sobre impuestos americanos o visite</w:t>
      </w:r>
      <w:r>
        <w:rPr>
          <w:rFonts w:eastAsia="Times New Roman" w:cs="Times New Roman"/>
          <w:sz w:val="21"/>
          <w:szCs w:val="21"/>
          <w:lang w:eastAsia="es-AR"/>
        </w:rPr>
        <w:t xml:space="preserve"> </w:t>
      </w:r>
      <w:hyperlink r:id="rId8" w:history="1">
        <w:r w:rsidRPr="002B46D2">
          <w:rPr>
            <w:rStyle w:val="Hipervnculo"/>
            <w:rFonts w:eastAsia="Times New Roman" w:cs="Times New Roman"/>
            <w:sz w:val="21"/>
            <w:szCs w:val="21"/>
            <w:lang w:eastAsia="es-AR"/>
          </w:rPr>
          <w:t>www.irs.gov</w:t>
        </w:r>
      </w:hyperlink>
      <w:r>
        <w:rPr>
          <w:rFonts w:eastAsia="Times New Roman" w:cs="Times New Roman"/>
          <w:sz w:val="21"/>
          <w:szCs w:val="21"/>
          <w:lang w:eastAsia="es-AR"/>
        </w:rPr>
        <w:t xml:space="preserve"> </w:t>
      </w:r>
      <w:r w:rsidRPr="00287726">
        <w:rPr>
          <w:rFonts w:eastAsia="Times New Roman" w:cs="Times New Roman"/>
          <w:sz w:val="21"/>
          <w:szCs w:val="21"/>
          <w:lang w:eastAsia="es-AR"/>
        </w:rPr>
        <w:t>por mayor información.</w:t>
      </w:r>
    </w:p>
    <w:p w:rsidR="00796B82" w:rsidRPr="00287726" w:rsidRDefault="00796B82">
      <w:bookmarkStart w:id="0" w:name="_GoBack"/>
      <w:bookmarkEnd w:id="0"/>
    </w:p>
    <w:sectPr w:rsidR="00796B82" w:rsidRPr="00287726">
      <w:headerReference w:type="default" r:id="rId9"/>
      <w:foot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5789" w:rsidRDefault="00D75789" w:rsidP="00287726">
      <w:pPr>
        <w:spacing w:after="0" w:line="240" w:lineRule="auto"/>
      </w:pPr>
      <w:r>
        <w:separator/>
      </w:r>
    </w:p>
  </w:endnote>
  <w:endnote w:type="continuationSeparator" w:id="0">
    <w:p w:rsidR="00D75789" w:rsidRDefault="00D75789" w:rsidP="00287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7726" w:rsidRDefault="00287726" w:rsidP="00287726">
    <w:pPr>
      <w:pStyle w:val="Piedepgina"/>
      <w:jc w:val="center"/>
      <w:rPr>
        <w:sz w:val="14"/>
        <w:lang w:val="es-ES"/>
      </w:rPr>
    </w:pPr>
    <w:r>
      <w:rPr>
        <w:sz w:val="14"/>
        <w:lang w:val="es-ES"/>
      </w:rPr>
      <w:t>Omega Bursátil SA Victoria Ocampo 360 Piso 3, Puerto Madero C1107BGA Buenos Aires</w:t>
    </w:r>
  </w:p>
  <w:p w:rsidR="00287726" w:rsidRPr="00287726" w:rsidRDefault="00287726" w:rsidP="00287726">
    <w:pPr>
      <w:pStyle w:val="Piedepgina"/>
      <w:jc w:val="center"/>
      <w:rPr>
        <w:lang w:val="en-US"/>
      </w:rPr>
    </w:pPr>
    <w:r>
      <w:rPr>
        <w:sz w:val="14"/>
        <w:lang w:val="en-US"/>
      </w:rPr>
      <w:t xml:space="preserve">Tel: (5411) 4515-6410 Fax: (5411) 4515-6301 Email: </w:t>
    </w:r>
    <w:hyperlink r:id="rId1" w:history="1">
      <w:r>
        <w:rPr>
          <w:rStyle w:val="Hipervnculo"/>
          <w:sz w:val="14"/>
          <w:lang w:val="en-US"/>
        </w:rPr>
        <w:t>info@omegabursatil.com</w:t>
      </w:r>
    </w:hyperlink>
    <w:r>
      <w:rPr>
        <w:sz w:val="14"/>
        <w:lang w:val="en-US"/>
      </w:rPr>
      <w:t xml:space="preserve"> , </w:t>
    </w:r>
    <w:hyperlink r:id="rId2" w:history="1">
      <w:r>
        <w:rPr>
          <w:rStyle w:val="Hipervnculo"/>
          <w:sz w:val="14"/>
          <w:lang w:val="en-US"/>
        </w:rPr>
        <w:t>http://www.OmegaBursatil.com</w:t>
      </w:r>
    </w:hyperlink>
    <w:r>
      <w:rPr>
        <w:rFonts w:ascii="Book Antiqua" w:hAnsi="Book Antiqua"/>
        <w:sz w:val="14"/>
        <w:lang w:val="en-US"/>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5789" w:rsidRDefault="00D75789" w:rsidP="00287726">
      <w:pPr>
        <w:spacing w:after="0" w:line="240" w:lineRule="auto"/>
      </w:pPr>
      <w:r>
        <w:separator/>
      </w:r>
    </w:p>
  </w:footnote>
  <w:footnote w:type="continuationSeparator" w:id="0">
    <w:p w:rsidR="00D75789" w:rsidRDefault="00D75789" w:rsidP="002877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7726" w:rsidRDefault="00287726" w:rsidP="00287726">
    <w:pPr>
      <w:pStyle w:val="Encabezado"/>
      <w:ind w:left="-567"/>
    </w:pPr>
    <w:r>
      <w:rPr>
        <w:noProof/>
        <w:lang w:eastAsia="es-AR"/>
      </w:rPr>
      <w:drawing>
        <wp:inline distT="0" distB="0" distL="0" distR="0">
          <wp:extent cx="604035" cy="647700"/>
          <wp:effectExtent l="0" t="0" r="5715"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mega bursatil.png"/>
                  <pic:cNvPicPr/>
                </pic:nvPicPr>
                <pic:blipFill>
                  <a:blip r:embed="rId1">
                    <a:extLst>
                      <a:ext uri="{28A0092B-C50C-407E-A947-70E740481C1C}">
                        <a14:useLocalDpi xmlns:a14="http://schemas.microsoft.com/office/drawing/2010/main" val="0"/>
                      </a:ext>
                    </a:extLst>
                  </a:blip>
                  <a:stretch>
                    <a:fillRect/>
                  </a:stretch>
                </pic:blipFill>
                <pic:spPr>
                  <a:xfrm>
                    <a:off x="0" y="0"/>
                    <a:ext cx="604119" cy="64779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9D0505"/>
    <w:multiLevelType w:val="multilevel"/>
    <w:tmpl w:val="6E80A1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7726"/>
    <w:rsid w:val="00287726"/>
    <w:rsid w:val="00796B82"/>
    <w:rsid w:val="00D75789"/>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8772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87726"/>
  </w:style>
  <w:style w:type="paragraph" w:styleId="Piedepgina">
    <w:name w:val="footer"/>
    <w:basedOn w:val="Normal"/>
    <w:link w:val="PiedepginaCar"/>
    <w:unhideWhenUsed/>
    <w:rsid w:val="00287726"/>
    <w:pPr>
      <w:tabs>
        <w:tab w:val="center" w:pos="4252"/>
        <w:tab w:val="right" w:pos="8504"/>
      </w:tabs>
      <w:spacing w:after="0" w:line="240" w:lineRule="auto"/>
    </w:pPr>
  </w:style>
  <w:style w:type="character" w:customStyle="1" w:styleId="PiedepginaCar">
    <w:name w:val="Pie de página Car"/>
    <w:basedOn w:val="Fuentedeprrafopredeter"/>
    <w:link w:val="Piedepgina"/>
    <w:rsid w:val="00287726"/>
  </w:style>
  <w:style w:type="paragraph" w:styleId="Textodeglobo">
    <w:name w:val="Balloon Text"/>
    <w:basedOn w:val="Normal"/>
    <w:link w:val="TextodegloboCar"/>
    <w:uiPriority w:val="99"/>
    <w:semiHidden/>
    <w:unhideWhenUsed/>
    <w:rsid w:val="0028772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87726"/>
    <w:rPr>
      <w:rFonts w:ascii="Tahoma" w:hAnsi="Tahoma" w:cs="Tahoma"/>
      <w:sz w:val="16"/>
      <w:szCs w:val="16"/>
    </w:rPr>
  </w:style>
  <w:style w:type="character" w:styleId="Hipervnculo">
    <w:name w:val="Hyperlink"/>
    <w:basedOn w:val="Fuentedeprrafopredeter"/>
    <w:uiPriority w:val="99"/>
    <w:unhideWhenUsed/>
    <w:rsid w:val="0028772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8772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87726"/>
  </w:style>
  <w:style w:type="paragraph" w:styleId="Piedepgina">
    <w:name w:val="footer"/>
    <w:basedOn w:val="Normal"/>
    <w:link w:val="PiedepginaCar"/>
    <w:unhideWhenUsed/>
    <w:rsid w:val="00287726"/>
    <w:pPr>
      <w:tabs>
        <w:tab w:val="center" w:pos="4252"/>
        <w:tab w:val="right" w:pos="8504"/>
      </w:tabs>
      <w:spacing w:after="0" w:line="240" w:lineRule="auto"/>
    </w:pPr>
  </w:style>
  <w:style w:type="character" w:customStyle="1" w:styleId="PiedepginaCar">
    <w:name w:val="Pie de página Car"/>
    <w:basedOn w:val="Fuentedeprrafopredeter"/>
    <w:link w:val="Piedepgina"/>
    <w:rsid w:val="00287726"/>
  </w:style>
  <w:style w:type="paragraph" w:styleId="Textodeglobo">
    <w:name w:val="Balloon Text"/>
    <w:basedOn w:val="Normal"/>
    <w:link w:val="TextodegloboCar"/>
    <w:uiPriority w:val="99"/>
    <w:semiHidden/>
    <w:unhideWhenUsed/>
    <w:rsid w:val="0028772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87726"/>
    <w:rPr>
      <w:rFonts w:ascii="Tahoma" w:hAnsi="Tahoma" w:cs="Tahoma"/>
      <w:sz w:val="16"/>
      <w:szCs w:val="16"/>
    </w:rPr>
  </w:style>
  <w:style w:type="character" w:styleId="Hipervnculo">
    <w:name w:val="Hyperlink"/>
    <w:basedOn w:val="Fuentedeprrafopredeter"/>
    <w:uiPriority w:val="99"/>
    <w:unhideWhenUsed/>
    <w:rsid w:val="0028772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837939">
      <w:bodyDiv w:val="1"/>
      <w:marLeft w:val="0"/>
      <w:marRight w:val="0"/>
      <w:marTop w:val="0"/>
      <w:marBottom w:val="0"/>
      <w:divBdr>
        <w:top w:val="none" w:sz="0" w:space="0" w:color="auto"/>
        <w:left w:val="none" w:sz="0" w:space="0" w:color="auto"/>
        <w:bottom w:val="none" w:sz="0" w:space="0" w:color="auto"/>
        <w:right w:val="none" w:sz="0" w:space="0" w:color="auto"/>
      </w:divBdr>
      <w:divsChild>
        <w:div w:id="1125850219">
          <w:marLeft w:val="0"/>
          <w:marRight w:val="0"/>
          <w:marTop w:val="0"/>
          <w:marBottom w:val="0"/>
          <w:divBdr>
            <w:top w:val="none" w:sz="0" w:space="0" w:color="auto"/>
            <w:left w:val="none" w:sz="0" w:space="0" w:color="auto"/>
            <w:bottom w:val="none" w:sz="0" w:space="0" w:color="auto"/>
            <w:right w:val="none" w:sz="0" w:space="0" w:color="auto"/>
          </w:divBdr>
        </w:div>
        <w:div w:id="1266614993">
          <w:marLeft w:val="0"/>
          <w:marRight w:val="0"/>
          <w:marTop w:val="0"/>
          <w:marBottom w:val="0"/>
          <w:divBdr>
            <w:top w:val="none" w:sz="0" w:space="0" w:color="auto"/>
            <w:left w:val="none" w:sz="0" w:space="0" w:color="auto"/>
            <w:bottom w:val="none" w:sz="0" w:space="0" w:color="auto"/>
            <w:right w:val="none" w:sz="0" w:space="0" w:color="auto"/>
          </w:divBdr>
        </w:div>
        <w:div w:id="539709531">
          <w:marLeft w:val="0"/>
          <w:marRight w:val="0"/>
          <w:marTop w:val="0"/>
          <w:marBottom w:val="0"/>
          <w:divBdr>
            <w:top w:val="none" w:sz="0" w:space="0" w:color="auto"/>
            <w:left w:val="none" w:sz="0" w:space="0" w:color="auto"/>
            <w:bottom w:val="none" w:sz="0" w:space="0" w:color="auto"/>
            <w:right w:val="none" w:sz="0" w:space="0" w:color="auto"/>
          </w:divBdr>
        </w:div>
        <w:div w:id="1498497717">
          <w:marLeft w:val="0"/>
          <w:marRight w:val="0"/>
          <w:marTop w:val="0"/>
          <w:marBottom w:val="0"/>
          <w:divBdr>
            <w:top w:val="none" w:sz="0" w:space="0" w:color="auto"/>
            <w:left w:val="none" w:sz="0" w:space="0" w:color="auto"/>
            <w:bottom w:val="none" w:sz="0" w:space="0" w:color="auto"/>
            <w:right w:val="none" w:sz="0" w:space="0" w:color="auto"/>
          </w:divBdr>
        </w:div>
        <w:div w:id="794101435">
          <w:marLeft w:val="0"/>
          <w:marRight w:val="0"/>
          <w:marTop w:val="0"/>
          <w:marBottom w:val="0"/>
          <w:divBdr>
            <w:top w:val="none" w:sz="0" w:space="0" w:color="auto"/>
            <w:left w:val="none" w:sz="0" w:space="0" w:color="auto"/>
            <w:bottom w:val="none" w:sz="0" w:space="0" w:color="auto"/>
            <w:right w:val="none" w:sz="0" w:space="0" w:color="auto"/>
          </w:divBdr>
        </w:div>
        <w:div w:id="991449529">
          <w:marLeft w:val="0"/>
          <w:marRight w:val="0"/>
          <w:marTop w:val="0"/>
          <w:marBottom w:val="0"/>
          <w:divBdr>
            <w:top w:val="none" w:sz="0" w:space="0" w:color="auto"/>
            <w:left w:val="none" w:sz="0" w:space="0" w:color="auto"/>
            <w:bottom w:val="none" w:sz="0" w:space="0" w:color="auto"/>
            <w:right w:val="none" w:sz="0" w:space="0" w:color="auto"/>
          </w:divBdr>
        </w:div>
        <w:div w:id="1106736390">
          <w:marLeft w:val="0"/>
          <w:marRight w:val="0"/>
          <w:marTop w:val="0"/>
          <w:marBottom w:val="0"/>
          <w:divBdr>
            <w:top w:val="none" w:sz="0" w:space="0" w:color="auto"/>
            <w:left w:val="none" w:sz="0" w:space="0" w:color="auto"/>
            <w:bottom w:val="none" w:sz="0" w:space="0" w:color="auto"/>
            <w:right w:val="none" w:sz="0" w:space="0" w:color="auto"/>
          </w:divBdr>
        </w:div>
        <w:div w:id="122582037">
          <w:marLeft w:val="0"/>
          <w:marRight w:val="0"/>
          <w:marTop w:val="0"/>
          <w:marBottom w:val="0"/>
          <w:divBdr>
            <w:top w:val="none" w:sz="0" w:space="0" w:color="auto"/>
            <w:left w:val="none" w:sz="0" w:space="0" w:color="auto"/>
            <w:bottom w:val="none" w:sz="0" w:space="0" w:color="auto"/>
            <w:right w:val="none" w:sz="0" w:space="0" w:color="auto"/>
          </w:divBdr>
        </w:div>
        <w:div w:id="1984580492">
          <w:marLeft w:val="0"/>
          <w:marRight w:val="0"/>
          <w:marTop w:val="0"/>
          <w:marBottom w:val="0"/>
          <w:divBdr>
            <w:top w:val="none" w:sz="0" w:space="0" w:color="auto"/>
            <w:left w:val="none" w:sz="0" w:space="0" w:color="auto"/>
            <w:bottom w:val="none" w:sz="0" w:space="0" w:color="auto"/>
            <w:right w:val="none" w:sz="0" w:space="0" w:color="auto"/>
          </w:divBdr>
        </w:div>
        <w:div w:id="1758408044">
          <w:marLeft w:val="0"/>
          <w:marRight w:val="0"/>
          <w:marTop w:val="0"/>
          <w:marBottom w:val="0"/>
          <w:divBdr>
            <w:top w:val="none" w:sz="0" w:space="0" w:color="auto"/>
            <w:left w:val="none" w:sz="0" w:space="0" w:color="auto"/>
            <w:bottom w:val="none" w:sz="0" w:space="0" w:color="auto"/>
            <w:right w:val="none" w:sz="0" w:space="0" w:color="auto"/>
          </w:divBdr>
        </w:div>
        <w:div w:id="772554034">
          <w:marLeft w:val="0"/>
          <w:marRight w:val="0"/>
          <w:marTop w:val="0"/>
          <w:marBottom w:val="0"/>
          <w:divBdr>
            <w:top w:val="none" w:sz="0" w:space="0" w:color="auto"/>
            <w:left w:val="none" w:sz="0" w:space="0" w:color="auto"/>
            <w:bottom w:val="none" w:sz="0" w:space="0" w:color="auto"/>
            <w:right w:val="none" w:sz="0" w:space="0" w:color="auto"/>
          </w:divBdr>
        </w:div>
        <w:div w:id="992294740">
          <w:marLeft w:val="0"/>
          <w:marRight w:val="0"/>
          <w:marTop w:val="0"/>
          <w:marBottom w:val="0"/>
          <w:divBdr>
            <w:top w:val="none" w:sz="0" w:space="0" w:color="auto"/>
            <w:left w:val="none" w:sz="0" w:space="0" w:color="auto"/>
            <w:bottom w:val="none" w:sz="0" w:space="0" w:color="auto"/>
            <w:right w:val="none" w:sz="0" w:space="0" w:color="auto"/>
          </w:divBdr>
        </w:div>
        <w:div w:id="517353696">
          <w:marLeft w:val="0"/>
          <w:marRight w:val="0"/>
          <w:marTop w:val="0"/>
          <w:marBottom w:val="0"/>
          <w:divBdr>
            <w:top w:val="none" w:sz="0" w:space="0" w:color="auto"/>
            <w:left w:val="none" w:sz="0" w:space="0" w:color="auto"/>
            <w:bottom w:val="none" w:sz="0" w:space="0" w:color="auto"/>
            <w:right w:val="none" w:sz="0" w:space="0" w:color="auto"/>
          </w:divBdr>
        </w:div>
      </w:divsChild>
    </w:div>
    <w:div w:id="719868673">
      <w:bodyDiv w:val="1"/>
      <w:marLeft w:val="0"/>
      <w:marRight w:val="0"/>
      <w:marTop w:val="0"/>
      <w:marBottom w:val="0"/>
      <w:divBdr>
        <w:top w:val="none" w:sz="0" w:space="0" w:color="auto"/>
        <w:left w:val="none" w:sz="0" w:space="0" w:color="auto"/>
        <w:bottom w:val="none" w:sz="0" w:space="0" w:color="auto"/>
        <w:right w:val="none" w:sz="0" w:space="0" w:color="auto"/>
      </w:divBdr>
    </w:div>
    <w:div w:id="2122798909">
      <w:bodyDiv w:val="1"/>
      <w:marLeft w:val="0"/>
      <w:marRight w:val="0"/>
      <w:marTop w:val="0"/>
      <w:marBottom w:val="0"/>
      <w:divBdr>
        <w:top w:val="none" w:sz="0" w:space="0" w:color="auto"/>
        <w:left w:val="none" w:sz="0" w:space="0" w:color="auto"/>
        <w:bottom w:val="none" w:sz="0" w:space="0" w:color="auto"/>
        <w:right w:val="none" w:sz="0" w:space="0" w:color="auto"/>
      </w:divBdr>
      <w:divsChild>
        <w:div w:id="1474370140">
          <w:marLeft w:val="0"/>
          <w:marRight w:val="0"/>
          <w:marTop w:val="0"/>
          <w:marBottom w:val="0"/>
          <w:divBdr>
            <w:top w:val="none" w:sz="0" w:space="0" w:color="auto"/>
            <w:left w:val="none" w:sz="0" w:space="0" w:color="auto"/>
            <w:bottom w:val="none" w:sz="0" w:space="0" w:color="auto"/>
            <w:right w:val="none" w:sz="0" w:space="0" w:color="auto"/>
          </w:divBdr>
        </w:div>
        <w:div w:id="1359694550">
          <w:marLeft w:val="0"/>
          <w:marRight w:val="0"/>
          <w:marTop w:val="0"/>
          <w:marBottom w:val="0"/>
          <w:divBdr>
            <w:top w:val="none" w:sz="0" w:space="0" w:color="auto"/>
            <w:left w:val="none" w:sz="0" w:space="0" w:color="auto"/>
            <w:bottom w:val="none" w:sz="0" w:space="0" w:color="auto"/>
            <w:right w:val="none" w:sz="0" w:space="0" w:color="auto"/>
          </w:divBdr>
        </w:div>
        <w:div w:id="618882238">
          <w:marLeft w:val="0"/>
          <w:marRight w:val="0"/>
          <w:marTop w:val="0"/>
          <w:marBottom w:val="0"/>
          <w:divBdr>
            <w:top w:val="none" w:sz="0" w:space="0" w:color="auto"/>
            <w:left w:val="none" w:sz="0" w:space="0" w:color="auto"/>
            <w:bottom w:val="none" w:sz="0" w:space="0" w:color="auto"/>
            <w:right w:val="none" w:sz="0" w:space="0" w:color="auto"/>
          </w:divBdr>
        </w:div>
        <w:div w:id="1774089300">
          <w:marLeft w:val="0"/>
          <w:marRight w:val="0"/>
          <w:marTop w:val="0"/>
          <w:marBottom w:val="0"/>
          <w:divBdr>
            <w:top w:val="none" w:sz="0" w:space="0" w:color="auto"/>
            <w:left w:val="none" w:sz="0" w:space="0" w:color="auto"/>
            <w:bottom w:val="none" w:sz="0" w:space="0" w:color="auto"/>
            <w:right w:val="none" w:sz="0" w:space="0" w:color="auto"/>
          </w:divBdr>
        </w:div>
        <w:div w:id="1803578315">
          <w:marLeft w:val="0"/>
          <w:marRight w:val="0"/>
          <w:marTop w:val="0"/>
          <w:marBottom w:val="0"/>
          <w:divBdr>
            <w:top w:val="none" w:sz="0" w:space="0" w:color="auto"/>
            <w:left w:val="none" w:sz="0" w:space="0" w:color="auto"/>
            <w:bottom w:val="none" w:sz="0" w:space="0" w:color="auto"/>
            <w:right w:val="none" w:sz="0" w:space="0" w:color="auto"/>
          </w:divBdr>
        </w:div>
        <w:div w:id="2028864174">
          <w:marLeft w:val="0"/>
          <w:marRight w:val="0"/>
          <w:marTop w:val="0"/>
          <w:marBottom w:val="0"/>
          <w:divBdr>
            <w:top w:val="none" w:sz="0" w:space="0" w:color="auto"/>
            <w:left w:val="none" w:sz="0" w:space="0" w:color="auto"/>
            <w:bottom w:val="none" w:sz="0" w:space="0" w:color="auto"/>
            <w:right w:val="none" w:sz="0" w:space="0" w:color="auto"/>
          </w:divBdr>
        </w:div>
        <w:div w:id="1759401800">
          <w:marLeft w:val="0"/>
          <w:marRight w:val="0"/>
          <w:marTop w:val="0"/>
          <w:marBottom w:val="0"/>
          <w:divBdr>
            <w:top w:val="none" w:sz="0" w:space="0" w:color="auto"/>
            <w:left w:val="none" w:sz="0" w:space="0" w:color="auto"/>
            <w:bottom w:val="none" w:sz="0" w:space="0" w:color="auto"/>
            <w:right w:val="none" w:sz="0" w:space="0" w:color="auto"/>
          </w:divBdr>
        </w:div>
        <w:div w:id="2114157945">
          <w:marLeft w:val="0"/>
          <w:marRight w:val="0"/>
          <w:marTop w:val="0"/>
          <w:marBottom w:val="0"/>
          <w:divBdr>
            <w:top w:val="none" w:sz="0" w:space="0" w:color="auto"/>
            <w:left w:val="none" w:sz="0" w:space="0" w:color="auto"/>
            <w:bottom w:val="none" w:sz="0" w:space="0" w:color="auto"/>
            <w:right w:val="none" w:sz="0" w:space="0" w:color="auto"/>
          </w:divBdr>
        </w:div>
        <w:div w:id="726226305">
          <w:marLeft w:val="0"/>
          <w:marRight w:val="0"/>
          <w:marTop w:val="0"/>
          <w:marBottom w:val="0"/>
          <w:divBdr>
            <w:top w:val="none" w:sz="0" w:space="0" w:color="auto"/>
            <w:left w:val="none" w:sz="0" w:space="0" w:color="auto"/>
            <w:bottom w:val="none" w:sz="0" w:space="0" w:color="auto"/>
            <w:right w:val="none" w:sz="0" w:space="0" w:color="auto"/>
          </w:divBdr>
        </w:div>
        <w:div w:id="211580706">
          <w:marLeft w:val="0"/>
          <w:marRight w:val="0"/>
          <w:marTop w:val="0"/>
          <w:marBottom w:val="0"/>
          <w:divBdr>
            <w:top w:val="none" w:sz="0" w:space="0" w:color="auto"/>
            <w:left w:val="none" w:sz="0" w:space="0" w:color="auto"/>
            <w:bottom w:val="none" w:sz="0" w:space="0" w:color="auto"/>
            <w:right w:val="none" w:sz="0" w:space="0" w:color="auto"/>
          </w:divBdr>
        </w:div>
        <w:div w:id="253586645">
          <w:marLeft w:val="0"/>
          <w:marRight w:val="0"/>
          <w:marTop w:val="0"/>
          <w:marBottom w:val="0"/>
          <w:divBdr>
            <w:top w:val="none" w:sz="0" w:space="0" w:color="auto"/>
            <w:left w:val="none" w:sz="0" w:space="0" w:color="auto"/>
            <w:bottom w:val="none" w:sz="0" w:space="0" w:color="auto"/>
            <w:right w:val="none" w:sz="0" w:space="0" w:color="auto"/>
          </w:divBdr>
        </w:div>
        <w:div w:id="1257398803">
          <w:marLeft w:val="0"/>
          <w:marRight w:val="0"/>
          <w:marTop w:val="0"/>
          <w:marBottom w:val="0"/>
          <w:divBdr>
            <w:top w:val="none" w:sz="0" w:space="0" w:color="auto"/>
            <w:left w:val="none" w:sz="0" w:space="0" w:color="auto"/>
            <w:bottom w:val="none" w:sz="0" w:space="0" w:color="auto"/>
            <w:right w:val="none" w:sz="0" w:space="0" w:color="auto"/>
          </w:divBdr>
        </w:div>
        <w:div w:id="6063474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rs.gov"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OmegaBursatil.com" TargetMode="External"/><Relationship Id="rId1" Type="http://schemas.openxmlformats.org/officeDocument/2006/relationships/hyperlink" Target="mailto:info@omegabursat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575</Words>
  <Characters>3167</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3735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Schiffrer</dc:creator>
  <cp:lastModifiedBy>Schiffrer</cp:lastModifiedBy>
  <cp:revision>1</cp:revision>
  <dcterms:created xsi:type="dcterms:W3CDTF">2016-04-06T19:25:00Z</dcterms:created>
  <dcterms:modified xsi:type="dcterms:W3CDTF">2016-04-06T19:29:00Z</dcterms:modified>
</cp:coreProperties>
</file>